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F731" w14:textId="77777777" w:rsidR="00A74CEC" w:rsidRPr="00E30EF4" w:rsidRDefault="00A74CEC" w:rsidP="00A74CEC">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ESTUDO TÉCNICO PRELIMINAR</w:t>
      </w:r>
    </w:p>
    <w:p w14:paraId="2F29F88E" w14:textId="77777777" w:rsidR="00A74CEC" w:rsidRPr="00E30EF4" w:rsidRDefault="00A74CEC" w:rsidP="00A74CEC">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CONTRATAÇÃO DE TREINAMENTO E APERFEIÇOAMENTO DE PESSOAL</w:t>
      </w:r>
    </w:p>
    <w:p w14:paraId="78312CAF" w14:textId="77777777" w:rsidR="00A74CEC" w:rsidRPr="00E30EF4" w:rsidRDefault="00A74CEC" w:rsidP="00A74CEC">
      <w:pPr>
        <w:spacing w:line="360" w:lineRule="auto"/>
        <w:jc w:val="both"/>
        <w:rPr>
          <w:rFonts w:ascii="Times New Roman" w:hAnsi="Times New Roman" w:cs="Times New Roman"/>
        </w:rPr>
      </w:pPr>
    </w:p>
    <w:p w14:paraId="118C3242" w14:textId="77777777" w:rsidR="00A74CEC" w:rsidRPr="00E30EF4" w:rsidRDefault="00A74CEC" w:rsidP="00A74CEC">
      <w:pPr>
        <w:spacing w:before="120" w:after="120" w:line="360" w:lineRule="auto"/>
        <w:jc w:val="both"/>
        <w:rPr>
          <w:rFonts w:ascii="Times New Roman" w:hAnsi="Times New Roman" w:cs="Times New Roman"/>
          <w:b/>
        </w:rPr>
      </w:pPr>
      <w:r w:rsidRPr="00E30EF4">
        <w:rPr>
          <w:rFonts w:ascii="Times New Roman" w:hAnsi="Times New Roman" w:cs="Times New Roman"/>
          <w:b/>
        </w:rPr>
        <w:t>INTRODUÇÃO</w:t>
      </w:r>
    </w:p>
    <w:p w14:paraId="4A70CB0B" w14:textId="77777777" w:rsidR="00A74CEC" w:rsidRPr="00E30EF4" w:rsidRDefault="00A74CEC" w:rsidP="00A74CEC">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presente documento caracteriza a primeira etapa da fase de planejamento e apresenta os devidos estudos para a contratação de solução que atenderá à necessidade abaixo especificada.</w:t>
      </w:r>
    </w:p>
    <w:p w14:paraId="642A4042" w14:textId="77777777" w:rsidR="00A74CEC" w:rsidRPr="00E30EF4" w:rsidRDefault="00A74CEC" w:rsidP="00A74CEC">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objetivo principal é estudar detalhadamente a necessidade e identificar no mercado a melhor solução para supri-la, em observância às normas vigentes e aos princípios que regem a Administração Pública.</w:t>
      </w:r>
    </w:p>
    <w:p w14:paraId="43F006F5" w14:textId="77777777" w:rsidR="00A74CEC" w:rsidRPr="00E30EF4" w:rsidRDefault="00A74CEC" w:rsidP="00A74CEC">
      <w:pPr>
        <w:spacing w:before="120" w:after="120" w:line="360" w:lineRule="auto"/>
        <w:jc w:val="both"/>
        <w:rPr>
          <w:rFonts w:ascii="Times New Roman" w:hAnsi="Times New Roman" w:cs="Times New Roman"/>
          <w:b/>
          <w:bCs/>
          <w:color w:val="000000"/>
        </w:rPr>
      </w:pPr>
    </w:p>
    <w:p w14:paraId="6A47BCD1" w14:textId="77777777" w:rsidR="00A74CEC" w:rsidRPr="00E30EF4" w:rsidRDefault="00A74CEC" w:rsidP="00A74CEC">
      <w:pPr>
        <w:spacing w:before="120" w:after="120" w:line="360" w:lineRule="auto"/>
        <w:jc w:val="both"/>
        <w:rPr>
          <w:rFonts w:ascii="Times New Roman" w:hAnsi="Times New Roman" w:cs="Times New Roman"/>
        </w:rPr>
      </w:pPr>
      <w:r w:rsidRPr="00E30EF4">
        <w:rPr>
          <w:rFonts w:ascii="Times New Roman" w:hAnsi="Times New Roman" w:cs="Times New Roman"/>
          <w:b/>
        </w:rPr>
        <w:t>1 - DESCRIÇÃO DA NECESSIDADE</w:t>
      </w:r>
    </w:p>
    <w:p w14:paraId="5D2399A2" w14:textId="77777777" w:rsidR="00A74CEC" w:rsidRDefault="00A74CEC" w:rsidP="00A74CEC">
      <w:pPr>
        <w:spacing w:before="120" w:after="120" w:line="360" w:lineRule="auto"/>
        <w:jc w:val="both"/>
        <w:rPr>
          <w:rFonts w:ascii="Times New Roman" w:hAnsi="Times New Roman" w:cs="Times New Roman"/>
          <w:color w:val="000000"/>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da necessidade da contratação, considerado o problema a ser resolvido sob a perspectiva do interesse público. (inciso I do § 1° do art. 18 da Lei 14.133/2021)</w:t>
      </w:r>
    </w:p>
    <w:p w14:paraId="09A84059" w14:textId="2AE61247" w:rsidR="00A74CEC" w:rsidRDefault="00A74CEC" w:rsidP="00A74CEC">
      <w:pPr>
        <w:spacing w:before="120" w:after="120" w:line="360" w:lineRule="auto"/>
        <w:jc w:val="both"/>
        <w:rPr>
          <w:rFonts w:ascii="Times New Roman" w:hAnsi="Times New Roman" w:cs="Times New Roman"/>
        </w:rPr>
      </w:pPr>
      <w:r>
        <w:rPr>
          <w:rFonts w:ascii="Times New Roman" w:hAnsi="Times New Roman" w:cs="Times New Roman"/>
          <w:color w:val="000000"/>
        </w:rPr>
        <w:t xml:space="preserve">O curso em questão tem como finalidade capacitar o servidor, a fim de que ele possa desempenhar suas atividades com maior qualidade e acuidade, principalmente no que concerne </w:t>
      </w:r>
      <w:r w:rsidR="00512059">
        <w:rPr>
          <w:rFonts w:ascii="Times New Roman" w:hAnsi="Times New Roman" w:cs="Times New Roman"/>
          <w:color w:val="000000"/>
        </w:rPr>
        <w:t>à Câmara Municipal e o Orçamento Público no último ano de mandato, às receitas e despesas públicas, a Lei de Responsabilidade Fiscal, seus principais pontos e implicações; também ao que compete a proposta da Lei Orçamentária Anual, os instrumentos de planejamento, a pertinência do PPA, LDO e LOA, as audiências públicas e sua realização, como entender o RGF e o RREO como ferramentas para contribuir na análise da proposta da LOA; por fim as propostas de emendas na LOA de 2025 e todas as suas modalidades e aplicações.</w:t>
      </w:r>
    </w:p>
    <w:p w14:paraId="6C535F7E" w14:textId="77777777" w:rsidR="00E829FF" w:rsidRPr="00E829FF" w:rsidRDefault="00E829FF" w:rsidP="00A74CEC">
      <w:pPr>
        <w:spacing w:before="120" w:after="120" w:line="360" w:lineRule="auto"/>
        <w:jc w:val="both"/>
        <w:rPr>
          <w:rFonts w:ascii="Times New Roman" w:hAnsi="Times New Roman" w:cs="Times New Roman"/>
        </w:rPr>
      </w:pPr>
    </w:p>
    <w:p w14:paraId="16B94E15" w14:textId="77777777" w:rsidR="00A74CEC" w:rsidRPr="00E30EF4" w:rsidRDefault="00A74CEC" w:rsidP="00A74CEC">
      <w:pPr>
        <w:shd w:val="clear" w:color="auto" w:fill="FFFFFF"/>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2 – PREVISÃO NO PLANO DE CONTRATAÇÕES ANUAL</w:t>
      </w:r>
    </w:p>
    <w:p w14:paraId="5DF5347F" w14:textId="77777777" w:rsidR="00A74CEC" w:rsidRPr="00E30EF4" w:rsidRDefault="00A74CEC" w:rsidP="00A74CEC">
      <w:pPr>
        <w:pStyle w:val="Default"/>
        <w:spacing w:before="120" w:after="120" w:line="360" w:lineRule="auto"/>
        <w:jc w:val="both"/>
      </w:pPr>
      <w:r w:rsidRPr="00E30EF4">
        <w:rPr>
          <w:rFonts w:eastAsia="Times New Roman"/>
          <w:b/>
          <w:bCs/>
          <w:lang w:eastAsia="pt-BR"/>
        </w:rPr>
        <w:t xml:space="preserve">Fundamentação: </w:t>
      </w:r>
      <w:r w:rsidRPr="00E30EF4">
        <w:t xml:space="preserve">Demonstração da previsão da contratação no plano de contratações anual, sempre que elaborado, de modo a indicar o seu alinhamento com o planejamento da Administração; </w:t>
      </w:r>
      <w:r w:rsidRPr="00E30EF4">
        <w:rPr>
          <w:rFonts w:eastAsia="Times New Roman"/>
          <w:lang w:eastAsia="pt-BR"/>
        </w:rPr>
        <w:t>(inciso II do § 1° do art. 18 da Lei 14.133/21)</w:t>
      </w:r>
    </w:p>
    <w:p w14:paraId="22EBE72C" w14:textId="77777777" w:rsidR="00A74CEC" w:rsidRPr="00E30EF4" w:rsidRDefault="00A74CEC" w:rsidP="00A74CEC">
      <w:pPr>
        <w:shd w:val="clear" w:color="auto" w:fill="FFFFFF"/>
        <w:spacing w:before="120" w:after="120" w:line="360" w:lineRule="auto"/>
        <w:jc w:val="both"/>
        <w:rPr>
          <w:rFonts w:ascii="Times New Roman" w:hAnsi="Times New Roman" w:cs="Times New Roman"/>
          <w:color w:val="000000"/>
        </w:rPr>
      </w:pPr>
      <w:r w:rsidRPr="00E30EF4">
        <w:rPr>
          <w:rFonts w:ascii="Times New Roman" w:hAnsi="Times New Roman" w:cs="Times New Roman"/>
          <w:color w:val="000000"/>
        </w:rPr>
        <w:lastRenderedPageBreak/>
        <w:t>Demonstração do alinhamento entre a contratação e o planejamento do órgão ou entidade, identificando a previsão no Plano Anual de Contratações ou, se for o caso, justificando a ausência de previsão; (Art. 12, inciso VII da Lei 14.133/21)</w:t>
      </w:r>
    </w:p>
    <w:p w14:paraId="4F104033" w14:textId="77777777" w:rsidR="00A74CEC" w:rsidRPr="00220D18" w:rsidRDefault="00A74CEC" w:rsidP="00A74CEC">
      <w:pPr>
        <w:shd w:val="clear" w:color="auto" w:fill="FFFFFF"/>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referente curso não está previsto no Plano de Contratações Anual de 2024, sendo a nova demanda justificável pelas seguintes razões: Não tem como se prever em qual data terá um curso </w:t>
      </w:r>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capacitante</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que seja interessante para o servidor e para a Câmara Municipal.</w:t>
      </w:r>
    </w:p>
    <w:p w14:paraId="3D7BCDBA" w14:textId="77777777" w:rsidR="00A74CEC" w:rsidRDefault="00A74CEC" w:rsidP="00A74CEC">
      <w:pPr>
        <w:shd w:val="clear" w:color="auto" w:fill="FFFFFF"/>
        <w:spacing w:before="120" w:after="120" w:line="360" w:lineRule="auto"/>
        <w:jc w:val="both"/>
        <w:rPr>
          <w:rFonts w:ascii="Times New Roman" w:hAnsi="Times New Roman" w:cs="Times New Roman"/>
          <w:i/>
          <w:iCs/>
          <w:color w:val="FF0000"/>
        </w:rPr>
      </w:pPr>
    </w:p>
    <w:p w14:paraId="5190334F" w14:textId="77777777" w:rsidR="00A74CEC" w:rsidRPr="00E30EF4" w:rsidRDefault="00A74CEC" w:rsidP="00A74CEC">
      <w:pPr>
        <w:shd w:val="clear" w:color="auto" w:fill="FFFFFF"/>
        <w:spacing w:before="120" w:after="120" w:line="360" w:lineRule="auto"/>
        <w:jc w:val="both"/>
        <w:rPr>
          <w:rFonts w:ascii="Times New Roman" w:hAnsi="Times New Roman" w:cs="Times New Roman"/>
          <w:i/>
          <w:iCs/>
          <w:color w:val="FF0000"/>
        </w:rPr>
      </w:pPr>
    </w:p>
    <w:p w14:paraId="240D3644" w14:textId="77777777" w:rsidR="00A74CEC" w:rsidRPr="00E30EF4" w:rsidRDefault="00A74CEC" w:rsidP="00A74CEC">
      <w:pPr>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3 – REQUISITOS DA CONTRATAÇÃO</w:t>
      </w:r>
    </w:p>
    <w:p w14:paraId="29E79D01" w14:textId="77777777" w:rsidR="00A74CEC" w:rsidRPr="00E30EF4" w:rsidRDefault="00A74CEC" w:rsidP="00A74CEC">
      <w:pPr>
        <w:spacing w:before="120" w:after="120" w:line="360" w:lineRule="auto"/>
        <w:jc w:val="both"/>
        <w:rPr>
          <w:rFonts w:ascii="Times New Roman" w:hAnsi="Times New Roman" w:cs="Times New Roman"/>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dos requisitos necessários e suficientes à escolha da solução. (inciso III do § 1° do art. 18 da Lei 14.133/2021).</w:t>
      </w:r>
    </w:p>
    <w:p w14:paraId="357F0216"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647FCDD9" w14:textId="77777777" w:rsidR="00A74CEC" w:rsidRPr="00D343E2" w:rsidRDefault="00A74CEC" w:rsidP="00A74CEC">
      <w:pPr>
        <w:spacing w:before="120" w:after="120"/>
        <w:ind w:left="2268"/>
        <w:contextualSpacing/>
        <w:jc w:val="both"/>
        <w:rPr>
          <w:rFonts w:ascii="Times New Roman" w:hAnsi="Times New Roman" w:cs="Times New Roman"/>
          <w:i/>
          <w:iCs/>
          <w:color w:val="0070C0"/>
          <w:sz w:val="20"/>
          <w:szCs w:val="20"/>
        </w:rPr>
      </w:pPr>
      <w:r w:rsidRPr="00D343E2">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1608DF18" w14:textId="77777777" w:rsidR="00A74CEC" w:rsidRPr="00D343E2" w:rsidRDefault="00A74CEC" w:rsidP="00A74CEC">
      <w:pPr>
        <w:spacing w:before="120" w:after="120" w:line="360" w:lineRule="auto"/>
        <w:jc w:val="both"/>
        <w:rPr>
          <w:rFonts w:ascii="Times New Roman" w:hAnsi="Times New Roman" w:cs="Times New Roman"/>
          <w:i/>
          <w:iCs/>
          <w:color w:val="0070C0"/>
        </w:rPr>
      </w:pPr>
    </w:p>
    <w:p w14:paraId="6D63465A"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com notória especialização é imprescindível à plena satisfação do objeto contratado; D) Notória Especialização e; E) Natureza singular do objeto a ser contratado.  </w:t>
      </w:r>
    </w:p>
    <w:p w14:paraId="148ED219" w14:textId="77777777" w:rsidR="00A74CEC" w:rsidRPr="00D343E2" w:rsidRDefault="00A74CEC" w:rsidP="00A74CEC">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A) Inviabilidade de competição </w:t>
      </w:r>
    </w:p>
    <w:p w14:paraId="461ED609"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2805DFA7"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ausência de objetividade na seleção do objeto se caracteriza, como regra, pela impossibilidade de seleção segundo critérios objetivos. Existem diferentes </w:t>
      </w:r>
      <w:r w:rsidRPr="00D343E2">
        <w:rPr>
          <w:rFonts w:ascii="Times New Roman" w:hAnsi="Times New Roman" w:cs="Times New Roman"/>
          <w:i/>
          <w:iCs/>
          <w:color w:val="0070C0"/>
        </w:rPr>
        <w:lastRenderedPageBreak/>
        <w:t>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0461CEFB"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374E2756" w14:textId="77777777" w:rsidR="00A74CEC" w:rsidRPr="00D343E2" w:rsidRDefault="00A74CEC" w:rsidP="00A74CEC">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B) Serviço Técnico Especializado </w:t>
      </w:r>
    </w:p>
    <w:p w14:paraId="4C47D1E7"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7A4C6594"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característica </w:t>
      </w:r>
      <w:proofErr w:type="spellStart"/>
      <w:r w:rsidRPr="00D343E2">
        <w:rPr>
          <w:rFonts w:ascii="Times New Roman" w:hAnsi="Times New Roman" w:cs="Times New Roman"/>
          <w:i/>
          <w:iCs/>
          <w:color w:val="0070C0"/>
        </w:rPr>
        <w:t>esta</w:t>
      </w:r>
      <w:proofErr w:type="spellEnd"/>
      <w:r w:rsidRPr="00D343E2">
        <w:rPr>
          <w:rFonts w:ascii="Times New Roman" w:hAnsi="Times New Roman" w:cs="Times New Roman"/>
          <w:i/>
          <w:iCs/>
          <w:color w:val="0070C0"/>
        </w:rPr>
        <w:t xml:space="preserve"> incluída na descrição dos serviços técnicos especializados previstos pela legislação.</w:t>
      </w:r>
    </w:p>
    <w:p w14:paraId="5FE1D6B9"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Extrai-se ainda do Documento de Formalização da Demanda, que a presente iniciativa tem o objetivo de contratar pessoa jurídica para prestação de serviços de docência em ação educacional. </w:t>
      </w:r>
    </w:p>
    <w:p w14:paraId="33D20E52" w14:textId="3202456B" w:rsidR="00666FD7" w:rsidRPr="00220D18" w:rsidRDefault="00A74CEC" w:rsidP="00A74CEC">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E2">
        <w:rPr>
          <w:rFonts w:ascii="Times New Roman" w:hAnsi="Times New Roman" w:cs="Times New Roman"/>
          <w:i/>
          <w:iCs/>
          <w:color w:val="0070C0"/>
        </w:rPr>
        <w:t>A ação educacional em questão refere-se à contratação do curso denominado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6C3C"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1205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LOA 2025: APRECIAÇÃO E VOTAÇÃO PELO LEGISLATIVO MUNICIPAL</w:t>
      </w:r>
      <w:r w:rsidR="00F96C3C"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07FF73" w14:textId="7D2ACE95"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para a contratação solicitada, é preciso a caracterização de um serviço predominantemente intelectual, o que é o caso da presente contratação. </w:t>
      </w:r>
    </w:p>
    <w:p w14:paraId="453BD187" w14:textId="7C0BBAFF" w:rsidR="00BC6F60"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BC6F60"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Demonstração que a contratação de profissional ou empresa com notória especialização é imprescindível à plena satisfação do objeto contratado</w:t>
      </w:r>
    </w:p>
    <w:p w14:paraId="3DE7B580" w14:textId="2025E2C4"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10B02777" w14:textId="3D70F98F"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78C5ADA8" w14:textId="6B93042C"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o caso por exemplo, das </w:t>
      </w:r>
      <w:bookmarkStart w:id="0" w:name="_Hlk17522958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w:t>
      </w:r>
      <w:bookmarkEnd w:id="0"/>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Nessas circunstâncias, restará configurada a inviabilidade de competição, haja vista a impossibilidade de comparar objetivamente os possíveis instrutores e os produtos por eles oferecidos. </w:t>
      </w:r>
    </w:p>
    <w:p w14:paraId="180AB835" w14:textId="06286E2B"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75230129"/>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curso a ser contratado objetiva </w:t>
      </w:r>
      <w:r w:rsidR="006F3E4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fornecer ao Servidor técnicas eficazes para otimizar sua capacidade de fiscalização. Também objetiva ensinar estratégias para garantir maior transparência e integridade nas ações legislativas finais antes do término do mandato. Capacita também a utilizar ferramentas para revisar e atualizar leis, deixando um marco duradouro</w:t>
      </w:r>
      <w:r w:rsidR="00F96C3C"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1"/>
    <w:p w14:paraId="53EB38CA" w14:textId="40DEE55B"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é possível inferir que a contratação aqui aduzida é fundamental e crucial para o atendimento dos interesses do órgão, haja vista que </w:t>
      </w:r>
      <w:bookmarkStart w:id="2" w:name="_Hlk175229723"/>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guarda evidente relação com os conhecimentos necessários ao agente público para o desempenho de suas funções. Nesse sentido, 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servidores e vereadores devem ser capacitados continuamente para o regular exercício de suas atribuições, notadamente porque as atividades desempenhadas pelos agentes públicos estão sujeitas à constante atualização procedimental e de conteúdo. </w:t>
      </w:r>
    </w:p>
    <w:bookmarkEnd w:id="2"/>
    <w:p w14:paraId="245328D0" w14:textId="4F811391" w:rsidR="006255FB"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w:t>
      </w:r>
      <w:r w:rsidR="006255FB"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Notória especialização para escolha do fornecedor</w:t>
      </w:r>
    </w:p>
    <w:p w14:paraId="58B3CDF1" w14:textId="76ED9AEF" w:rsidR="006255FB"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Outro requisito também mantido na Lei federal nº 14.133, de 2021, a notória especialização do profissional deve estar relacionada ao objeto pretendido, e, segundo a doutrina, precisa estar intimamente relacionada com a singularidade intentada pela Administração. O conceito reproduzido no § 3º do art. 74 da Lei federal nº 14.133, de 2021 se refere a</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requisito da atividade da pessoa </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permitir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inferir que o trabalho é essencial e reconhecidamente o mais adequado à plena satisfação do objeto do contrato. </w:t>
      </w:r>
    </w:p>
    <w:p w14:paraId="7BA549BE" w14:textId="4CC4BC20" w:rsidR="006255FB"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002A4734"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a notória especialização está relacionada com o serviço técnico especializado singular objeto da contratação.</w:t>
      </w:r>
    </w:p>
    <w:p w14:paraId="649A4134" w14:textId="5882B151" w:rsidR="00C12735"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Certo é que os serviços de treinamento e aperfeiçoamento de pessoal podem ser alvo de contratação direta, por meio da inexigibilidade de licitação, consubstanciada no art. 74, III, “f” e § 3º da Nova Lei de Licitações e Contratos, mas esse enquadramento dependerá da presença dos requisitos normativos exigidos</w:t>
      </w:r>
      <w:r w:rsidR="002A4734"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0B92B8" w14:textId="74DD9F63" w:rsidR="00C12735" w:rsidRPr="00220D18" w:rsidRDefault="00C12735"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75230331"/>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caso concreto, é difícil estabelecer padrões adequados de competição para escolher </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maneira isenta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entre diferentes professores ou cursos, tornando-se complicado comparar a capacidade intelectual oferecida por cada pessoa física ou 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w:t>
      </w:r>
      <w:r w:rsidR="0014798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senão vejamos:</w:t>
      </w:r>
    </w:p>
    <w:p w14:paraId="1384A48C" w14:textId="12964C02" w:rsidR="00147987" w:rsidRPr="00220D18" w:rsidRDefault="00147987" w:rsidP="00147987">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Ivan Barbosa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Rigolin</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heterogêneos inclusive no que se refere à formação profissional; e) capacidade de comunicação. Como não se pode dissociar o treinamento do instrutor ou docente, essa singularidade subjetiva é também objetiva. Vale 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16ED55F6" w14:textId="77777777" w:rsidR="00147987" w:rsidRPr="00220D18" w:rsidRDefault="00147987"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3"/>
    <w:p w14:paraId="2AE7F6FA" w14:textId="5541D450" w:rsidR="00C12735" w:rsidRPr="00220D18" w:rsidRDefault="00C12735"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Diante da singularidade dos serviços prestado, a escolha da empresa</w:t>
      </w:r>
      <w:r w:rsidR="0051205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Instituto </w:t>
      </w:r>
      <w:proofErr w:type="spellStart"/>
      <w:r w:rsidR="0051205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Plenum</w:t>
      </w:r>
      <w:proofErr w:type="spellEnd"/>
      <w:r w:rsidR="0051205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Brasil</w:t>
      </w:r>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meio do docente </w:t>
      </w:r>
      <w:r w:rsidR="00E829FF">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w:t>
      </w:r>
      <w:r w:rsidR="0051205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Caio Campos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dá por meio de uma decisão estratégica para atender as necessidades apontadas pelo demandante</w:t>
      </w:r>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escolha do docente de notória especialização se dá de acordo com sua formação, experiências,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cronograma do curso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do currículo </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professor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DB62070" w14:textId="4AAFAD1C" w:rsidR="00CB49E6" w:rsidRPr="00220D18" w:rsidRDefault="00CB49E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conforme currículo apresentado, o professor </w:t>
      </w:r>
      <w:bookmarkStart w:id="4" w:name="_Hlk175230000"/>
      <w:proofErr w:type="gramStart"/>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bookmarkStart w:id="5" w:name="_Hlk175230067"/>
      <w:bookmarkEnd w:id="4"/>
      <w:r w:rsidR="005B1497" w:rsidRP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Advogado</w:t>
      </w:r>
      <w:proofErr w:type="gramEnd"/>
      <w:r w:rsidR="005B1497" w:rsidRP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205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especialista em direito público com mais de 16 anos de experiência no setor público. Já foi assessor nas secretarias de governo e planejamento do governo do estado de Minas Gerais, já foi vereador, e hoje atua como palestrante</w:t>
      </w:r>
      <w:r w:rsidR="005B1497" w:rsidRP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B149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Além disso, a empresa fornecedora do curso é estabelecida no mercado, sendo reconhecida pelo oferecimento de treinamentos e formação educacional. </w:t>
      </w:r>
    </w:p>
    <w:bookmarkEnd w:id="5"/>
    <w:p w14:paraId="44D68969" w14:textId="13F6722E" w:rsidR="006255FB" w:rsidRPr="00220D18" w:rsidRDefault="00CB49E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a partir dos aspectos apresentados que o requisito da notória especialização resta configurado. </w:t>
      </w:r>
    </w:p>
    <w:p w14:paraId="101B8648" w14:textId="4E8637A1" w:rsidR="00CB49E6"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w:t>
      </w:r>
      <w:r w:rsidR="002A4734"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ingular do </w:t>
      </w:r>
      <w:r w:rsidR="002A4734"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bjeto a ser contratado.  </w:t>
      </w:r>
    </w:p>
    <w:p w14:paraId="19955978" w14:textId="2ABE8EA0" w:rsidR="00CB49E6" w:rsidRPr="00220D18" w:rsidRDefault="00FA469D"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1E63A566" w14:textId="42F1F104" w:rsidR="00FA469D" w:rsidRPr="00220D18" w:rsidRDefault="00FA469D"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por cautela, também é pertinente analisar o presente aspecto. Objeto singular é aquele que poderia ser qualificado como infungível, aqueles que não podem ser substituídos por outros de mesma espécie, qualidade e quantidade. Nesse diapasão, é evidente a correlação existente entre </w:t>
      </w:r>
      <w:r w:rsidR="009F0142"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notória especialização e o serviço singular objeto do procedimento. </w:t>
      </w:r>
    </w:p>
    <w:p w14:paraId="6B7FF3F6" w14:textId="4D4D6399"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w:t>
      </w:r>
      <w:bookmarkStart w:id="6" w:name="_Hlk17523160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 singular é aquele em que o prestador possui conhecimento aprofundado e, por isso, trata-se de atividade diferenciada</w:t>
      </w:r>
      <w:bookmarkEnd w:id="6"/>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mas jamais única ou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exclusiva (até porque se fosse exclusiva, a inexigibilidade seria fundamentada pelo inciso I, do art. 74, da Lei nº 14.133/21 e não pelo art. 74, III, “f” da referida lei). </w:t>
      </w:r>
    </w:p>
    <w:p w14:paraId="2F797D6A" w14:textId="785D5CF2"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contexto, na inexigibilidade de licitação para contratação de serviço técnico especializado, com profissionais ou empresas de notória especialização, no âmbito da Lei federal nº 14.133, de 2021,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 apresentam complexidade técnica e devem ser feitos sob encomenda por um terceiro, devendo este reunir um conjunto de atributos que não podem ser mensurados por critérios objetivos; e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os serviços não devem ser padronizados, básicos e convencionais.</w:t>
      </w:r>
    </w:p>
    <w:p w14:paraId="7B4F582A" w14:textId="47536C05"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Hlk175231643"/>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 serviços de docência para os fins das ações educacionais pretendidas, devem ser caracterizados, via de regra, como singulares, uma vez que não se tratam de atuações padronizadas e, com isso, comparáveis entre si. Pelo contrário, ministrar uma aula ou elaborar um conteúdo educacional é algo peculiar, que resulta da aplicação da formação, da experiência profissional e docente e de metodologias próprias do docente definido, as quais, a princípio, não poderiam ser simplesmente replicadas por qualquer outra pessoa.</w:t>
      </w:r>
      <w:bookmarkEnd w:id="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efeito, segue o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seguinte ensinamento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133721" w14:textId="720A38FA" w:rsidR="009F0142" w:rsidRPr="00220D18" w:rsidRDefault="009F0142" w:rsidP="00731E9D">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Tudo isso requer do profissional, a cada serviço, 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(cada serviço) é, em si, singular, inusitado, peculiar.</w:t>
      </w:r>
      <w:r w:rsidR="00D27D86"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1E9D"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(CHAVES, Luiz Cláudio de Azevedo. Contratação de serviços de treinamento e aperfeiçoamento de pessoal na administração pública: caso de licitação, dispensa ou inexigibilidade? . IDEMP - Instituto de Desenvolvimento Empresarial, Rio de Janeiro, pp. 3- 4. Disponível em: http://idemp-edu.com.br/uploads/artigos/contratacaoservicostreinamento.pdf</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C3F"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(grifei)</w:t>
      </w:r>
    </w:p>
    <w:p w14:paraId="5AD83D43" w14:textId="77777777" w:rsidR="00FA469D" w:rsidRPr="00220D18" w:rsidRDefault="00FA469D" w:rsidP="00BC6F60">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F60C60" w14:textId="34CA1647" w:rsidR="00D27D86" w:rsidRPr="00220D18" w:rsidRDefault="00D27D8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professor Ricardo Alexandre Sampaio também preleciona: </w:t>
      </w:r>
    </w:p>
    <w:p w14:paraId="7CEE557D" w14:textId="694BF228" w:rsidR="00D27D86" w:rsidRPr="00220D18" w:rsidRDefault="00D27D86" w:rsidP="00D27D86">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 na situação em exame, em que pese diversos particulares possam atender a demanda da Administração, ministrando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dos servidores,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(SAMPAIO, Ricardo Alexandre. Inaplicabilidade do pregão à contratação de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de servidores. Revista Zênite – Informativo de Licitações e Contratos (ILC), Curitiba: Zênite, 2014 n. 242, p. 361)</w:t>
      </w:r>
      <w:r w:rsidR="00960C3F"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(grifei)</w:t>
      </w:r>
    </w:p>
    <w:p w14:paraId="4C1BE2E1" w14:textId="77777777" w:rsidR="00D27D86" w:rsidRPr="00220D18" w:rsidRDefault="00D27D86" w:rsidP="00BC6F60">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542A3" w14:textId="430A22A2" w:rsidR="00960C3F" w:rsidRPr="00220D18" w:rsidRDefault="00D27D86" w:rsidP="00960C3F">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vista do exposto, é possível evidenciar que os serviços a serem contratados são singulares, uma vez que é impossível de se estabelecer, a priori, critérios objetivos de comparação com outros serviços de treinamento oferecidos no mercado, o que, por sua vez, afasta a regra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licitatória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C3F"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Além disso, é possível concluir pela possibilidade de contratação por meio da inexigibilidade de licitação prevista no art. 74, III, “f”, da Lei nº 14.133/21. </w:t>
      </w:r>
    </w:p>
    <w:p w14:paraId="49E81E88"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ESTIMATIVA DAS QUANTIDADES</w:t>
      </w:r>
    </w:p>
    <w:p w14:paraId="68E834B9"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das quantidades a serem contratadas, acompanhada das memórias de cálculo e dos documentos que lhe dão suporte, considerando a interdependência com outras contratações, de modo a possibilitar economia de escala (inciso IV do § 1° do art. 18 da Lei 14.133/21).</w:t>
      </w:r>
    </w:p>
    <w:p w14:paraId="164F76DC" w14:textId="628BCBCD"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7678789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 termo de documento de formalização de demanda foi requerida a inscrição de curso para apenas um</w:t>
      </w:r>
      <w:r w:rsidR="00512059">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1497">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servidor</w:t>
      </w:r>
      <w:r w:rsidR="00512059">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Portanto o quantitativo é de apenas uma unidade de inscrição de curso.</w:t>
      </w:r>
    </w:p>
    <w:bookmarkEnd w:id="8"/>
    <w:p w14:paraId="711D8E8C"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LEVANTAMENTO DE MERCADO</w:t>
      </w:r>
    </w:p>
    <w:p w14:paraId="15F28813"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Levantamento de mercado, que consiste na análise das alternativas possíveis, e justificativa técnica e econômica da escolha do tipo de solução a contratar. (inciso V do § 1° do art. 18 da Lei 14.133/2021).</w:t>
      </w:r>
    </w:p>
    <w:p w14:paraId="1FFA405B" w14:textId="77777777" w:rsidR="00C03DCC" w:rsidRPr="00220D18" w:rsidRDefault="00C03DCC" w:rsidP="00C03DCC">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76787935"/>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Como se trata de uma inexigibilidade de um serviço especializado com profissionais de notória especialização, não se tem como verificar o preço do serviço de um profissional correspondente. Portanto, a pesquisa foi realizada com valores daquela empresa, onde trabalha aquele profissional, respeitando o artigo 23, § 4º da lei federal 14.133/21.</w:t>
      </w:r>
    </w:p>
    <w:bookmarkEnd w:id="9"/>
    <w:p w14:paraId="6B3AB456"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ESTIMATIVA DO PREÇO DA CONTRATAÇÃO</w:t>
      </w:r>
    </w:p>
    <w:p w14:paraId="46252B45"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14:paraId="24521856"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Hlk176787948"/>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Pode se verificar neste procedimento, que pelas Notas Fiscais apresentadas da empresa a ser contratada, que o valor apresentado está dentro da média do valor cobrado por ela.</w:t>
      </w:r>
    </w:p>
    <w:bookmarkEnd w:id="10"/>
    <w:p w14:paraId="7F7E285C"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DESCRIÇÃO DA SOLUÇÃO COMO UM TODO</w:t>
      </w:r>
    </w:p>
    <w:p w14:paraId="25DF4E7B" w14:textId="58D5C11E"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da solução como um todo, inclusive das exigências relacionadas à manutenção e à assistência técnica, quando for o caso. (inciso VII do § 1° do art. 18 da Lei 14.133/21.</w:t>
      </w:r>
    </w:p>
    <w:p w14:paraId="114DAB8B" w14:textId="3B76312B" w:rsidR="00726D19" w:rsidRPr="00220D18" w:rsidRDefault="00726D19" w:rsidP="00E30EF4">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17678800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4ECEFD74" w14:textId="7B6107A7" w:rsidR="00726D19" w:rsidRPr="00220D18" w:rsidRDefault="00726D19" w:rsidP="00E30EF4">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Conforme já foi devidamente explanado no presente documento, restou caracterizada a inviabilidade de competição, por se tratar de serviço técnico especializado de natureza singular, oferecido por empresa/profissional com notória especialização, imprescindível à satisfação da demanda do Poder Público.   </w:t>
      </w:r>
    </w:p>
    <w:bookmarkEnd w:id="11"/>
    <w:p w14:paraId="604443F6"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JUSTIFICATIVA PARA PARCELAMENTO</w:t>
      </w:r>
    </w:p>
    <w:p w14:paraId="35F0151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Justificativas para o parcelamento ou não da solução. (inciso VIII do § 1° do art. 18 da Lei 14.133/21 e art. 7°, inciso VII da IN 40/2020).</w:t>
      </w:r>
    </w:p>
    <w:p w14:paraId="77885CF8"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Hlk176788015"/>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É somente um item a ser prestado o serviço. Portanto não tem como parcelar.</w:t>
      </w:r>
    </w:p>
    <w:bookmarkEnd w:id="12"/>
    <w:p w14:paraId="31185BB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DEMONSTRATIVO DOS RESULTADOS PRETENDIDOS</w:t>
      </w:r>
    </w:p>
    <w:p w14:paraId="0E83B9B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Demonstrativo dos resultados pretendidos em termos de economicidade e de melhor aproveitamento dos recursos humanos, materiais e financeiros disponíveis; (inciso IX do § 1° do art. 18 da Lei 14.133/21), bem como em termos de efetividade e de desenvolvimento nacional sustentável</w:t>
      </w:r>
    </w:p>
    <w:p w14:paraId="19EF90DF"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Hlk176788024"/>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3"/>
    <w:p w14:paraId="2BB059BF"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PROVIDÊNCIAS PRÉVIAS AO CONTRATO</w:t>
      </w:r>
    </w:p>
    <w:p w14:paraId="276FC5FC"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14:paraId="6EBBF953" w14:textId="77777777" w:rsidR="00C03DCC" w:rsidRPr="00220D18" w:rsidRDefault="00C03DCC" w:rsidP="00C03DCC">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176788032"/>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Deve-se verificar se o curso está mesmo marcado através de um folder apresentando o tema da referida contratação. Verificar a data do curso e também verificar a se os documentos estão em prazo vigente.</w:t>
      </w:r>
    </w:p>
    <w:bookmarkEnd w:id="14"/>
    <w:p w14:paraId="74E2CA70"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 CONTRATAÇÕES CORRELATAS/INTERDEPENDENTES</w:t>
      </w:r>
    </w:p>
    <w:p w14:paraId="3B7D1C6E"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correlatas e/ou interdependentes. (inciso XI do § 1° do art. 18 da Lei 14.133/21).</w:t>
      </w:r>
    </w:p>
    <w:p w14:paraId="632DCBA2"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Hlk176788042"/>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acordo com o §2° do inciso III do artigo 18 da lei 14.133, este item pode ser dispensado. O mesmo se faz necessário em razão de ser uma inexigibilidade em que se deseja a contratação de um serviço de uma empresa especializada para curso de capacitação. Não se tem como prever a data da realização de um curso ou até mesmo a </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vontade do servidor em estar nele, logo, não é possível prever contratações correlatas e/ou interdependentes.</w:t>
      </w:r>
    </w:p>
    <w:bookmarkEnd w:id="15"/>
    <w:p w14:paraId="44D178BC"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IMPACTOS AMBIENTAIS</w:t>
      </w:r>
    </w:p>
    <w:p w14:paraId="33118EB4"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de possíveis impactos ambientais e respectivas medidas mitigadoras, incluídos requisitos de baixo consumo de energia e de outros recursos, bem como logística reversa para desfazimento e reciclagem de bens e refugos, quando aplicável. (inciso XII do § 1° do art. 18 da Lei 14.133/21)</w:t>
      </w:r>
    </w:p>
    <w:p w14:paraId="4749897E"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Hlk176788051"/>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6"/>
    <w:p w14:paraId="5EDD57E0"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VIABILIDADE DA CONTRATAÇÃO</w:t>
      </w:r>
    </w:p>
    <w:p w14:paraId="6C812083"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adequação da contratação para o atendimento da necessidade a que se destina. (inciso XIII do § 1° do art. 18 da Lei 14.133/21)</w:t>
      </w:r>
    </w:p>
    <w:p w14:paraId="30C93043"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viabilidade e razoabilidade da contratação. (Art. 7°, inciso XIII da IN 40/2020)</w:t>
      </w:r>
    </w:p>
    <w:p w14:paraId="7F8369A4" w14:textId="28166CD0" w:rsidR="005B1497" w:rsidRPr="00512059" w:rsidRDefault="00C03DCC" w:rsidP="00E30EF4">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Hlk17678806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contratação é de um curso de capacitação de servidor público. A empresa possui uma especialização técnica especializado de natureza predominantemente intelectual de notória especialização. A contratação se refere a um treinamento, um aperfeiçoamento de um servidor desta Casa de Leis. A lei 14.133/21 permite tal contratação como compra direta do tipo inexigibilidade. Portanto, pode-se contratar tal empresa via Inexigibilidade presente no artigo 74, inciso III, alínea “f</w:t>
      </w:r>
      <w:proofErr w:type="gramStart"/>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7"/>
      <w:proofErr w:type="gramEnd"/>
    </w:p>
    <w:p w14:paraId="7A8729B6" w14:textId="3FBE3852"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RESPONSÁVEIS</w:t>
      </w:r>
    </w:p>
    <w:p w14:paraId="467DDB32" w14:textId="27D8A16F" w:rsidR="00C03DCC" w:rsidRPr="00220D18" w:rsidRDefault="00C03DCC" w:rsidP="00512059">
      <w:pPr>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Hlk176788076"/>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bookmarkEnd w:id="18"/>
    </w:p>
    <w:p w14:paraId="3FF19916" w14:textId="643FB718" w:rsidR="00C03DCC" w:rsidRPr="00220D18" w:rsidRDefault="00C03DCC" w:rsidP="00C03DCC">
      <w:pPr>
        <w:spacing w:before="120" w:after="120" w:line="360" w:lineRule="auto"/>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Hlk176788083"/>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Patrocínio, </w:t>
      </w:r>
      <w:r w:rsidR="005B149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5B149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outubro</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2024</w:t>
      </w:r>
    </w:p>
    <w:p w14:paraId="328AC46C" w14:textId="77777777" w:rsidR="00C03DCC" w:rsidRPr="00220D18" w:rsidRDefault="00C03DCC" w:rsidP="00C03DCC">
      <w:pPr>
        <w:spacing w:before="120" w:after="120" w:line="360" w:lineRule="auto"/>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9E3E80" w14:textId="77777777" w:rsidR="00C03DCC" w:rsidRPr="00220D18" w:rsidRDefault="00C03DCC" w:rsidP="00C03DCC">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0711F" w14:textId="77777777" w:rsidR="00C03DCC" w:rsidRPr="00220D18" w:rsidRDefault="00C03DCC" w:rsidP="00C03DCC">
      <w:pPr>
        <w:contextualSpacing/>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p w14:paraId="2DD4594D" w14:textId="00A8A731" w:rsidR="0058625C" w:rsidRPr="00220D18" w:rsidRDefault="00C03DCC" w:rsidP="00C03DCC">
      <w:pPr>
        <w:contextualSpacing/>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19"/>
    </w:p>
    <w:sectPr w:rsidR="0058625C" w:rsidRPr="00220D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591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F4"/>
    <w:rsid w:val="00010AA0"/>
    <w:rsid w:val="000F72E7"/>
    <w:rsid w:val="00147987"/>
    <w:rsid w:val="00153DBA"/>
    <w:rsid w:val="00220D18"/>
    <w:rsid w:val="002A4734"/>
    <w:rsid w:val="003136C3"/>
    <w:rsid w:val="003413DC"/>
    <w:rsid w:val="00407D03"/>
    <w:rsid w:val="00426A37"/>
    <w:rsid w:val="00471C3B"/>
    <w:rsid w:val="004A53E0"/>
    <w:rsid w:val="00511B5F"/>
    <w:rsid w:val="00512059"/>
    <w:rsid w:val="0058625C"/>
    <w:rsid w:val="005B1497"/>
    <w:rsid w:val="005E2859"/>
    <w:rsid w:val="006255FB"/>
    <w:rsid w:val="00666FD7"/>
    <w:rsid w:val="006A40AF"/>
    <w:rsid w:val="006D2EC5"/>
    <w:rsid w:val="006F3E47"/>
    <w:rsid w:val="00714963"/>
    <w:rsid w:val="00726D19"/>
    <w:rsid w:val="00731E9D"/>
    <w:rsid w:val="00765D26"/>
    <w:rsid w:val="00785ABC"/>
    <w:rsid w:val="007C176B"/>
    <w:rsid w:val="00895C64"/>
    <w:rsid w:val="008E6AD4"/>
    <w:rsid w:val="00960C3F"/>
    <w:rsid w:val="00985C7E"/>
    <w:rsid w:val="009A4A36"/>
    <w:rsid w:val="009D4CC7"/>
    <w:rsid w:val="009F0142"/>
    <w:rsid w:val="00A01C11"/>
    <w:rsid w:val="00A13B4E"/>
    <w:rsid w:val="00A74CEC"/>
    <w:rsid w:val="00BC6F60"/>
    <w:rsid w:val="00C03DCC"/>
    <w:rsid w:val="00C12735"/>
    <w:rsid w:val="00C24A8C"/>
    <w:rsid w:val="00C621B7"/>
    <w:rsid w:val="00CB49E6"/>
    <w:rsid w:val="00D27D86"/>
    <w:rsid w:val="00D343E2"/>
    <w:rsid w:val="00D63822"/>
    <w:rsid w:val="00D6522B"/>
    <w:rsid w:val="00E01C1B"/>
    <w:rsid w:val="00E30EF4"/>
    <w:rsid w:val="00E829FF"/>
    <w:rsid w:val="00F5448F"/>
    <w:rsid w:val="00F96C3C"/>
    <w:rsid w:val="00FA4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9E9E"/>
  <w15:chartTrackingRefBased/>
  <w15:docId w15:val="{2F8C6A63-B0E2-403A-BC91-674CBCA3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EF4"/>
    <w:pPr>
      <w:spacing w:after="0" w:line="240" w:lineRule="auto"/>
    </w:pPr>
    <w:rPr>
      <w:rFonts w:ascii="Ecofont_Spranq_eco_Sans" w:eastAsia="Times New Roman" w:hAnsi="Ecofont_Spranq_eco_Sans" w:cs="Tahoma"/>
      <w:kern w:val="0"/>
      <w:sz w:val="24"/>
      <w:szCs w:val="24"/>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E30EF4"/>
    <w:pPr>
      <w:ind w:left="720"/>
      <w:contextualSpacing/>
    </w:pPr>
  </w:style>
  <w:style w:type="character" w:customStyle="1" w:styleId="PargrafodaListaChar">
    <w:name w:val="Parágrafo da Lista Char"/>
    <w:basedOn w:val="Fontepargpadro"/>
    <w:link w:val="PargrafodaLista"/>
    <w:rsid w:val="00E30EF4"/>
    <w:rPr>
      <w:rFonts w:ascii="Ecofont_Spranq_eco_Sans" w:eastAsia="Times New Roman" w:hAnsi="Ecofont_Spranq_eco_Sans" w:cs="Tahoma"/>
      <w:kern w:val="0"/>
      <w:sz w:val="24"/>
      <w:szCs w:val="24"/>
      <w:lang w:eastAsia="pt-BR"/>
      <w14:ligatures w14:val="none"/>
    </w:rPr>
  </w:style>
  <w:style w:type="paragraph" w:customStyle="1" w:styleId="Textbody">
    <w:name w:val="Text body"/>
    <w:basedOn w:val="Normal"/>
    <w:rsid w:val="00E30EF4"/>
    <w:pPr>
      <w:suppressAutoHyphens/>
      <w:autoSpaceDN w:val="0"/>
      <w:spacing w:after="140" w:line="276" w:lineRule="auto"/>
    </w:pPr>
    <w:rPr>
      <w:rFonts w:ascii="Liberation Serif" w:eastAsia="NSimSun" w:hAnsi="Liberation Serif" w:cs="Lucida Sans"/>
      <w:kern w:val="3"/>
      <w:lang w:eastAsia="zh-CN" w:bidi="hi-IN"/>
    </w:rPr>
  </w:style>
  <w:style w:type="paragraph" w:customStyle="1" w:styleId="Default">
    <w:name w:val="Default"/>
    <w:rsid w:val="00E30EF4"/>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4148</Words>
  <Characters>22404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2</cp:revision>
  <cp:lastPrinted>2024-10-10T13:22:00Z</cp:lastPrinted>
  <dcterms:created xsi:type="dcterms:W3CDTF">2024-10-10T13:44:00Z</dcterms:created>
  <dcterms:modified xsi:type="dcterms:W3CDTF">2024-10-10T13:44:00Z</dcterms:modified>
</cp:coreProperties>
</file>